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21"/>
        <w:gridCol w:w="1220"/>
        <w:gridCol w:w="155"/>
        <w:gridCol w:w="29"/>
        <w:gridCol w:w="20"/>
        <w:gridCol w:w="1451"/>
        <w:gridCol w:w="1641"/>
        <w:gridCol w:w="1012"/>
        <w:gridCol w:w="20"/>
        <w:gridCol w:w="695"/>
        <w:gridCol w:w="1162"/>
        <w:gridCol w:w="246"/>
        <w:gridCol w:w="20"/>
        <w:gridCol w:w="378"/>
        <w:gridCol w:w="20"/>
        <w:gridCol w:w="163"/>
        <w:gridCol w:w="20"/>
        <w:gridCol w:w="37"/>
        <w:gridCol w:w="20"/>
        <w:gridCol w:w="293"/>
        <w:gridCol w:w="1116"/>
        <w:gridCol w:w="20"/>
        <w:gridCol w:w="18"/>
        <w:gridCol w:w="11"/>
      </w:tblGrid>
      <w:tr w:rsidR="00FB71D8" w:rsidRPr="00FB71D8" w:rsidTr="00550128">
        <w:trPr>
          <w:gridAfter w:val="3"/>
          <w:wAfter w:w="49" w:type="dxa"/>
          <w:trHeight w:val="289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FB71D8" w:rsidRPr="00FB71D8" w:rsidRDefault="00933032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4D5AA5C2" wp14:editId="2995DC5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94" w:type="dxa"/>
            <w:gridSpan w:val="16"/>
            <w:vMerge w:val="restart"/>
          </w:tcPr>
          <w:p w:rsidR="00550128" w:rsidRPr="00550128" w:rsidRDefault="00933032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50128"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55012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DE139C0" wp14:editId="74715AA8">
                  <wp:extent cx="714375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933032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550128">
        <w:trPr>
          <w:trHeight w:val="708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69" w:type="dxa"/>
            <w:gridSpan w:val="1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FB71D8" w:rsidRPr="00FB71D8" w:rsidTr="005501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0128" w:rsidRPr="00550128" w:rsidRDefault="00550128" w:rsidP="0055012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550128" w:rsidRPr="00550128" w:rsidTr="00550128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Рабочая ПРОГРАММа </w:t>
                        </w:r>
                      </w:p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012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55012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933032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24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43.02.16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Туризм и гостеприимство</w:t>
                  </w: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</w:p>
                <w:p w:rsidR="00550128" w:rsidRPr="00550128" w:rsidRDefault="00550128" w:rsidP="00BE672E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 Специалист по туризму и гостеприимству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E672E" w:rsidRPr="00BE672E" w:rsidRDefault="00BE672E" w:rsidP="00BE67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BE672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Год начала подготовки: 202</w:t>
                  </w:r>
                  <w:r w:rsidR="001C51C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bookmarkStart w:id="0" w:name="_GoBack"/>
                  <w:bookmarkEnd w:id="0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70ED1" w:rsidRDefault="00FB71D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1100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1"/>
          <w:wAfter w:w="11" w:type="dxa"/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FB71D8" w:rsidRPr="00FB71D8" w:rsidTr="0055012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  <w:gridSpan w:val="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B71D8" w:rsidRPr="00FB71D8" w:rsidTr="005501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9330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E672E" w:rsidRPr="00BE672E" w:rsidRDefault="00BE672E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28220A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Рабочая программа </w:t>
                  </w:r>
                  <w:r w:rsid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общеобразовательной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.02.16 Туризм и гостеприимство</w:t>
                  </w:r>
                  <w:r w:rsidR="00550128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(направленность предоставление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</w:rPr>
                    <w:t xml:space="preserve"> туроператорских и турагентских услуг</w:t>
                  </w:r>
                  <w:r w:rsidR="00550128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12 декабря 2022 № 1100.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55012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0128" w:rsidRPr="0055012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дисциплины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933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933032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933032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55012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F813C2" wp14:editId="401AE287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Структура и содержание </w:t>
            </w:r>
            <w:proofErr w:type="gramStart"/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общеоб</w:t>
            </w:r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</w:t>
            </w:r>
            <w:proofErr w:type="gramEnd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</w:t>
            </w:r>
            <w:proofErr w:type="spellEnd"/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E711F4">
        <w:fldChar w:fldCharType="begin"/>
      </w:r>
      <w:r w:rsidR="00166F0C">
        <w:instrText>HYPERLINK \l "_bookmark7"</w:instrText>
      </w:r>
      <w:r w:rsidR="00E711F4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E711F4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550128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550128" w:rsidRDefault="009F1C6B" w:rsidP="00550128">
      <w:pPr>
        <w:widowControl/>
        <w:autoSpaceDE/>
        <w:autoSpaceDN/>
        <w:spacing w:after="120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Общеобразовательная дисциплина </w:t>
      </w:r>
      <w:r w:rsidR="00550128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Д.12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A94AFF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.02.16 Туризм и гостеприимство</w:t>
      </w:r>
      <w:r w:rsid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50128" w:rsidRPr="00550128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5E6913" w:rsidRPr="00550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5501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550128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550128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550128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7C1FC5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55012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550128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деятельности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550128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55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7C1FC5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550128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A727BA" w:rsidRDefault="00560D0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7B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A72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A727BA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A727BA">
        <w:trPr>
          <w:gridAfter w:val="3"/>
          <w:wAfter w:w="57" w:type="dxa"/>
          <w:trHeight w:val="60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A727B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727BA" w:rsidRPr="00053AC6" w:rsidRDefault="00A727BA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A727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769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A727BA" w:rsidRPr="00053AC6" w:rsidRDefault="00A727BA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 Проблема отходов и побочных продуктов.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66546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Горение ацетилена как источник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высокотемператур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28220A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27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1C2F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5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оптически н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0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ения кейсов (выступление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28220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28220A" w:rsidRDefault="0028220A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28220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C5" w:rsidRDefault="007C1FC5">
      <w:r>
        <w:separator/>
      </w:r>
    </w:p>
  </w:endnote>
  <w:endnote w:type="continuationSeparator" w:id="0">
    <w:p w:rsidR="007C1FC5" w:rsidRDefault="007C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7C1F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51C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7C1F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51C4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7C1F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7C1F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51C4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7C1FC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51C4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C5" w:rsidRDefault="007C1FC5">
      <w:r>
        <w:separator/>
      </w:r>
    </w:p>
  </w:footnote>
  <w:footnote w:type="continuationSeparator" w:id="0">
    <w:p w:rsidR="007C1FC5" w:rsidRDefault="007C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B5483"/>
    <w:rsid w:val="001C51C4"/>
    <w:rsid w:val="001E6A67"/>
    <w:rsid w:val="001F7706"/>
    <w:rsid w:val="00211426"/>
    <w:rsid w:val="00213F4D"/>
    <w:rsid w:val="00240D72"/>
    <w:rsid w:val="00263397"/>
    <w:rsid w:val="0028220A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42D6B"/>
    <w:rsid w:val="00550128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15B48"/>
    <w:rsid w:val="00724D9B"/>
    <w:rsid w:val="007550D4"/>
    <w:rsid w:val="007664AB"/>
    <w:rsid w:val="00776502"/>
    <w:rsid w:val="007915A6"/>
    <w:rsid w:val="007A198D"/>
    <w:rsid w:val="007A3BF5"/>
    <w:rsid w:val="007C1FC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33032"/>
    <w:rsid w:val="009E75B7"/>
    <w:rsid w:val="009E761F"/>
    <w:rsid w:val="009F1C6B"/>
    <w:rsid w:val="009F606D"/>
    <w:rsid w:val="00A103EA"/>
    <w:rsid w:val="00A727BA"/>
    <w:rsid w:val="00A94AFF"/>
    <w:rsid w:val="00AF64AF"/>
    <w:rsid w:val="00B04A5D"/>
    <w:rsid w:val="00B1071B"/>
    <w:rsid w:val="00B874CF"/>
    <w:rsid w:val="00BC495B"/>
    <w:rsid w:val="00BD0EB0"/>
    <w:rsid w:val="00BD3142"/>
    <w:rsid w:val="00BE672E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711F4"/>
    <w:rsid w:val="00E84990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128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128"/>
    <w:rPr>
      <w:rFonts w:ascii="Trebuchet MS" w:eastAsia="Trebuchet MS" w:hAnsi="Trebuchet MS" w:cs="Trebuchet MS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83B68-81F1-4ABC-AD74-A6B7E353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8807</Words>
  <Characters>50201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Петрикевич Наталья Юрьевна</cp:lastModifiedBy>
  <cp:revision>57</cp:revision>
  <dcterms:created xsi:type="dcterms:W3CDTF">2023-06-04T09:44:00Z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